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8F" w:rsidRDefault="00781B8F" w:rsidP="00781B8F">
      <w:pPr>
        <w:spacing w:after="0" w:line="240" w:lineRule="auto"/>
        <w:contextualSpacing/>
      </w:pPr>
      <w:bookmarkStart w:id="0" w:name="_GoBack"/>
      <w:bookmarkEnd w:id="0"/>
    </w:p>
    <w:p w:rsidR="00781B8F" w:rsidRPr="00781B8F" w:rsidRDefault="00781B8F" w:rsidP="00781B8F">
      <w:pPr>
        <w:spacing w:after="0" w:line="240" w:lineRule="auto"/>
        <w:jc w:val="both"/>
        <w:rPr>
          <w:rFonts w:ascii="Times New Roman" w:eastAsia="Times New Roman" w:hAnsi="Times New Roman" w:cs="Times New Roman"/>
          <w:b/>
          <w:lang w:eastAsia="en-IN"/>
        </w:rPr>
      </w:pPr>
    </w:p>
    <w:p w:rsidR="00781B8F" w:rsidRPr="00781B8F" w:rsidRDefault="00781B8F" w:rsidP="00781B8F">
      <w:pPr>
        <w:spacing w:after="0" w:line="240" w:lineRule="auto"/>
        <w:jc w:val="both"/>
        <w:rPr>
          <w:rFonts w:ascii="Times New Roman" w:eastAsia="Times New Roman" w:hAnsi="Times New Roman" w:cs="Times New Roman"/>
          <w:b/>
          <w:lang w:eastAsia="en-IN"/>
        </w:rPr>
      </w:pPr>
    </w:p>
    <w:p w:rsidR="00781B8F" w:rsidRPr="00781B8F" w:rsidRDefault="00781B8F" w:rsidP="00781B8F">
      <w:pPr>
        <w:spacing w:after="0" w:line="240" w:lineRule="auto"/>
        <w:jc w:val="both"/>
        <w:rPr>
          <w:rFonts w:ascii="Times New Roman" w:eastAsia="Times New Roman" w:hAnsi="Times New Roman" w:cs="Times New Roman"/>
          <w:b/>
          <w:lang w:eastAsia="en-IN"/>
        </w:rPr>
      </w:pPr>
      <w:r w:rsidRPr="00781B8F">
        <w:rPr>
          <w:rFonts w:ascii="Times New Roman" w:eastAsia="Times New Roman" w:hAnsi="Times New Roman" w:cs="Times New Roman"/>
          <w:b/>
          <w:lang w:eastAsia="en-IN"/>
        </w:rPr>
        <w:t>Goa Industrial Development Corporation.</w:t>
      </w:r>
    </w:p>
    <w:p w:rsidR="00781B8F" w:rsidRPr="00781B8F" w:rsidRDefault="00781B8F" w:rsidP="00781B8F">
      <w:pPr>
        <w:spacing w:after="0" w:line="240" w:lineRule="auto"/>
        <w:jc w:val="both"/>
        <w:rPr>
          <w:rFonts w:ascii="Times New Roman" w:eastAsia="Times New Roman" w:hAnsi="Times New Roman" w:cs="Times New Roman"/>
          <w:b/>
          <w:lang w:eastAsia="en-IN"/>
        </w:rPr>
      </w:pPr>
      <w:r w:rsidRPr="00781B8F">
        <w:rPr>
          <w:rFonts w:ascii="Times New Roman" w:eastAsia="Times New Roman" w:hAnsi="Times New Roman" w:cs="Times New Roman"/>
          <w:b/>
          <w:lang w:eastAsia="en-IN"/>
        </w:rPr>
        <w:t>(A Government of Goa Undertaking)</w:t>
      </w:r>
    </w:p>
    <w:p w:rsidR="00781B8F" w:rsidRPr="00781B8F" w:rsidRDefault="00781B8F" w:rsidP="00781B8F">
      <w:pPr>
        <w:spacing w:after="0" w:line="240" w:lineRule="auto"/>
        <w:jc w:val="both"/>
        <w:rPr>
          <w:rFonts w:ascii="Times New Roman" w:eastAsia="Times New Roman" w:hAnsi="Times New Roman" w:cs="Times New Roman"/>
          <w:b/>
          <w:lang w:eastAsia="en-IN"/>
        </w:rPr>
      </w:pPr>
    </w:p>
    <w:p w:rsidR="00781B8F" w:rsidRPr="00781B8F" w:rsidRDefault="00781B8F" w:rsidP="00781B8F">
      <w:pPr>
        <w:spacing w:after="0" w:line="240" w:lineRule="auto"/>
        <w:jc w:val="both"/>
        <w:rPr>
          <w:rFonts w:ascii="Times New Roman" w:eastAsia="Times New Roman" w:hAnsi="Times New Roman" w:cs="Times New Roman"/>
          <w:u w:val="single"/>
          <w:lang w:eastAsia="en-IN"/>
        </w:rPr>
      </w:pPr>
      <w:r w:rsidRPr="00781B8F">
        <w:rPr>
          <w:rFonts w:ascii="Times New Roman" w:eastAsia="Times New Roman" w:hAnsi="Times New Roman" w:cs="Times New Roman"/>
          <w:b/>
          <w:u w:val="single"/>
          <w:lang w:eastAsia="en-IN"/>
        </w:rPr>
        <w:t>Corporate Office</w:t>
      </w:r>
    </w:p>
    <w:p w:rsidR="00781B8F" w:rsidRPr="00781B8F" w:rsidRDefault="00781B8F" w:rsidP="00781B8F">
      <w:pPr>
        <w:spacing w:after="0"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Plot No.13A-2, EDC Complex, Patto Plaza, Panaji-Goa 403001</w:t>
      </w:r>
    </w:p>
    <w:p w:rsidR="00781B8F" w:rsidRPr="00781B8F" w:rsidRDefault="00781B8F" w:rsidP="00781B8F">
      <w:pPr>
        <w:spacing w:after="0"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 xml:space="preserve">Tel: 91-832-2437470 to 73; </w:t>
      </w:r>
    </w:p>
    <w:p w:rsidR="00781B8F" w:rsidRPr="00781B8F" w:rsidRDefault="00781B8F" w:rsidP="00781B8F">
      <w:pPr>
        <w:spacing w:after="0"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Fax: 91(832)2437478-79:email:goaidc1965@gmail.com:www;goaidc.com</w:t>
      </w:r>
    </w:p>
    <w:p w:rsidR="00781B8F" w:rsidRPr="00781B8F" w:rsidRDefault="00781B8F" w:rsidP="00781B8F">
      <w:pPr>
        <w:spacing w:after="0" w:line="240" w:lineRule="auto"/>
        <w:jc w:val="both"/>
        <w:rPr>
          <w:rFonts w:ascii="Times New Roman" w:eastAsia="Times New Roman" w:hAnsi="Times New Roman" w:cs="Times New Roman"/>
          <w:lang w:eastAsia="en-IN"/>
        </w:rPr>
      </w:pPr>
    </w:p>
    <w:p w:rsidR="00781B8F" w:rsidRPr="00781B8F" w:rsidRDefault="00781B8F" w:rsidP="00781B8F">
      <w:pPr>
        <w:spacing w:after="0" w:line="240" w:lineRule="auto"/>
        <w:jc w:val="both"/>
        <w:rPr>
          <w:rFonts w:ascii="Times New Roman" w:eastAsia="Times New Roman" w:hAnsi="Times New Roman" w:cs="Times New Roman"/>
          <w:lang w:eastAsia="en-IN"/>
        </w:rPr>
      </w:pP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r w:rsidRPr="00781B8F">
        <w:rPr>
          <w:rFonts w:ascii="Times New Roman" w:eastAsia="Times New Roman" w:hAnsi="Times New Roman" w:cs="Times New Roman"/>
          <w:b/>
          <w:u w:val="single"/>
          <w:lang w:eastAsia="en-IN"/>
        </w:rPr>
        <w:t>TENDER NOTICE</w:t>
      </w: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r w:rsidRPr="00781B8F">
        <w:rPr>
          <w:rFonts w:ascii="Times New Roman" w:eastAsia="Times New Roman" w:hAnsi="Times New Roman" w:cs="Times New Roman"/>
          <w:b/>
          <w:u w:val="single"/>
          <w:lang w:eastAsia="en-IN"/>
        </w:rPr>
        <w:t>(E-Tendering Mode only)</w:t>
      </w: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r w:rsidRPr="00781B8F">
        <w:rPr>
          <w:rFonts w:ascii="Times New Roman" w:eastAsia="Times New Roman" w:hAnsi="Times New Roman" w:cs="Times New Roman"/>
          <w:b/>
          <w:u w:val="single"/>
          <w:lang w:eastAsia="en-IN"/>
        </w:rPr>
        <w:t xml:space="preserve">Tender </w:t>
      </w:r>
      <w:proofErr w:type="gramStart"/>
      <w:r w:rsidRPr="00781B8F">
        <w:rPr>
          <w:rFonts w:ascii="Times New Roman" w:eastAsia="Times New Roman" w:hAnsi="Times New Roman" w:cs="Times New Roman"/>
          <w:b/>
          <w:u w:val="single"/>
          <w:lang w:eastAsia="en-IN"/>
        </w:rPr>
        <w:t>Notice  no</w:t>
      </w:r>
      <w:proofErr w:type="gramEnd"/>
      <w:r w:rsidRPr="00781B8F">
        <w:rPr>
          <w:rFonts w:ascii="Times New Roman" w:eastAsia="Times New Roman" w:hAnsi="Times New Roman" w:cs="Times New Roman"/>
          <w:b/>
          <w:u w:val="single"/>
          <w:lang w:eastAsia="en-IN"/>
        </w:rPr>
        <w:t>. GIDC/G M (E)/Tender Notice/2014-15/A-22/</w:t>
      </w: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r w:rsidRPr="00781B8F">
        <w:rPr>
          <w:rFonts w:ascii="Times New Roman" w:eastAsia="Times New Roman" w:hAnsi="Times New Roman" w:cs="Times New Roman"/>
          <w:b/>
          <w:u w:val="single"/>
          <w:lang w:eastAsia="en-IN"/>
        </w:rPr>
        <w:t>Dated:-18/05/2015.</w:t>
      </w:r>
    </w:p>
    <w:p w:rsidR="00781B8F" w:rsidRPr="00781B8F" w:rsidRDefault="00781B8F" w:rsidP="00781B8F">
      <w:pPr>
        <w:spacing w:after="0" w:line="240" w:lineRule="auto"/>
        <w:jc w:val="center"/>
        <w:rPr>
          <w:rFonts w:ascii="Times New Roman" w:eastAsia="Times New Roman" w:hAnsi="Times New Roman" w:cs="Times New Roman"/>
          <w:b/>
          <w:u w:val="single"/>
          <w:lang w:eastAsia="en-IN"/>
        </w:rPr>
      </w:pPr>
    </w:p>
    <w:p w:rsidR="00781B8F" w:rsidRPr="00781B8F" w:rsidRDefault="00781B8F" w:rsidP="00781B8F">
      <w:pPr>
        <w:spacing w:after="0"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 xml:space="preserve">The General </w:t>
      </w:r>
      <w:proofErr w:type="gramStart"/>
      <w:r w:rsidRPr="00781B8F">
        <w:rPr>
          <w:rFonts w:ascii="Times New Roman" w:eastAsia="Times New Roman" w:hAnsi="Times New Roman" w:cs="Times New Roman"/>
          <w:lang w:eastAsia="en-IN"/>
        </w:rPr>
        <w:t>Manager(</w:t>
      </w:r>
      <w:proofErr w:type="gramEnd"/>
      <w:r w:rsidRPr="00781B8F">
        <w:rPr>
          <w:rFonts w:ascii="Times New Roman" w:eastAsia="Times New Roman" w:hAnsi="Times New Roman" w:cs="Times New Roman"/>
          <w:lang w:eastAsia="en-IN"/>
        </w:rPr>
        <w:t xml:space="preserve">Engg.) invites on behalf of Goa-IDC, Panaji-Goa, item rate  tenders under  e-tender mode for the various  works  prescribed in GOAIDC’s website. </w:t>
      </w:r>
    </w:p>
    <w:p w:rsidR="00781B8F" w:rsidRPr="00781B8F" w:rsidRDefault="00781B8F" w:rsidP="00781B8F">
      <w:pPr>
        <w:spacing w:after="0" w:line="240" w:lineRule="auto"/>
        <w:jc w:val="both"/>
        <w:rPr>
          <w:rFonts w:ascii="Times New Roman" w:eastAsia="Times New Roman" w:hAnsi="Times New Roman" w:cs="Times New Roman"/>
          <w:lang w:eastAsia="en-IN"/>
        </w:rPr>
      </w:pPr>
    </w:p>
    <w:tbl>
      <w:tblPr>
        <w:tblW w:w="18428" w:type="dxa"/>
        <w:tblInd w:w="108" w:type="dxa"/>
        <w:tblLayout w:type="fixed"/>
        <w:tblLook w:val="04A0"/>
      </w:tblPr>
      <w:tblGrid>
        <w:gridCol w:w="9781"/>
        <w:gridCol w:w="8647"/>
      </w:tblGrid>
      <w:tr w:rsidR="00781B8F" w:rsidRPr="00781B8F" w:rsidTr="00591EE1">
        <w:trPr>
          <w:trHeight w:val="686"/>
        </w:trPr>
        <w:tc>
          <w:tcPr>
            <w:tcW w:w="9781" w:type="dxa"/>
          </w:tcPr>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068"/>
              <w:gridCol w:w="2053"/>
              <w:gridCol w:w="2483"/>
            </w:tblGrid>
            <w:tr w:rsidR="00781B8F" w:rsidRPr="00781B8F" w:rsidTr="00591EE1">
              <w:trPr>
                <w:trHeight w:val="507"/>
              </w:trPr>
              <w:tc>
                <w:tcPr>
                  <w:tcW w:w="71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Sr. no.</w:t>
                  </w:r>
                </w:p>
              </w:tc>
              <w:tc>
                <w:tcPr>
                  <w:tcW w:w="406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Description/Details</w:t>
                  </w:r>
                </w:p>
              </w:tc>
              <w:tc>
                <w:tcPr>
                  <w:tcW w:w="2053"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 xml:space="preserve">Date </w:t>
                  </w:r>
                </w:p>
              </w:tc>
              <w:tc>
                <w:tcPr>
                  <w:tcW w:w="2483"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Time</w:t>
                  </w:r>
                </w:p>
              </w:tc>
            </w:tr>
            <w:tr w:rsidR="00781B8F" w:rsidRPr="00781B8F" w:rsidTr="00591EE1">
              <w:tc>
                <w:tcPr>
                  <w:tcW w:w="71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1.</w:t>
                  </w:r>
                </w:p>
              </w:tc>
              <w:tc>
                <w:tcPr>
                  <w:tcW w:w="406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Availability of tender document on e-tender website</w:t>
                  </w:r>
                </w:p>
              </w:tc>
              <w:tc>
                <w:tcPr>
                  <w:tcW w:w="2053"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25/05/2015</w:t>
                  </w:r>
                </w:p>
              </w:tc>
              <w:tc>
                <w:tcPr>
                  <w:tcW w:w="2483"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.15.00pm</w:t>
                  </w:r>
                </w:p>
              </w:tc>
            </w:tr>
            <w:tr w:rsidR="00781B8F" w:rsidRPr="00781B8F" w:rsidTr="00591EE1">
              <w:tc>
                <w:tcPr>
                  <w:tcW w:w="71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2.</w:t>
                  </w:r>
                </w:p>
              </w:tc>
              <w:tc>
                <w:tcPr>
                  <w:tcW w:w="406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Last Date of online submission of tender</w:t>
                  </w:r>
                </w:p>
              </w:tc>
              <w:tc>
                <w:tcPr>
                  <w:tcW w:w="2053"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28/05/2015</w:t>
                  </w:r>
                </w:p>
              </w:tc>
              <w:tc>
                <w:tcPr>
                  <w:tcW w:w="2483"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15.00pm</w:t>
                  </w:r>
                </w:p>
              </w:tc>
            </w:tr>
            <w:tr w:rsidR="00781B8F" w:rsidRPr="00781B8F" w:rsidTr="00591EE1">
              <w:tc>
                <w:tcPr>
                  <w:tcW w:w="71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3.</w:t>
                  </w:r>
                </w:p>
              </w:tc>
              <w:tc>
                <w:tcPr>
                  <w:tcW w:w="4068"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Date &amp; Time of opening of tender</w:t>
                  </w:r>
                </w:p>
              </w:tc>
              <w:tc>
                <w:tcPr>
                  <w:tcW w:w="2053"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28/05/2015</w:t>
                  </w:r>
                </w:p>
              </w:tc>
              <w:tc>
                <w:tcPr>
                  <w:tcW w:w="2483"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100" w:afterAutospacing="1" w:line="240" w:lineRule="auto"/>
                    <w:jc w:val="both"/>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15.30pm</w:t>
                  </w:r>
                </w:p>
              </w:tc>
            </w:tr>
          </w:tbl>
          <w:p w:rsidR="00781B8F" w:rsidRPr="00781B8F" w:rsidRDefault="00781B8F" w:rsidP="00781B8F">
            <w:pPr>
              <w:spacing w:after="0" w:line="240" w:lineRule="auto"/>
              <w:jc w:val="both"/>
              <w:rPr>
                <w:rFonts w:ascii="Times New Roman" w:eastAsia="Times New Roman" w:hAnsi="Times New Roman" w:cs="Times New Roman"/>
                <w:b/>
                <w:u w:val="single"/>
                <w:lang w:eastAsia="en-IN"/>
              </w:rPr>
            </w:pPr>
          </w:p>
          <w:p w:rsidR="00781B8F" w:rsidRPr="00781B8F" w:rsidRDefault="00781B8F" w:rsidP="00781B8F">
            <w:pPr>
              <w:spacing w:after="100" w:afterAutospacing="1" w:line="240" w:lineRule="auto"/>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For all other additional details, please contact the office of the General Manager (Engg.), Goa-IDC, Plot no</w:t>
            </w:r>
            <w:proofErr w:type="gramStart"/>
            <w:r w:rsidRPr="00781B8F">
              <w:rPr>
                <w:rFonts w:ascii="Times New Roman" w:eastAsia="Times New Roman" w:hAnsi="Times New Roman" w:cs="Times New Roman"/>
                <w:lang w:eastAsia="en-IN"/>
              </w:rPr>
              <w:t>,.</w:t>
            </w:r>
            <w:proofErr w:type="gramEnd"/>
            <w:r w:rsidRPr="00781B8F">
              <w:rPr>
                <w:rFonts w:ascii="Times New Roman" w:eastAsia="Times New Roman" w:hAnsi="Times New Roman" w:cs="Times New Roman"/>
                <w:lang w:eastAsia="en-IN"/>
              </w:rPr>
              <w:t xml:space="preserve"> 13A-2, EDC complex, Patto- Plaza, Panaji-Goa-403 001 or visit the website as below:-</w:t>
            </w:r>
          </w:p>
          <w:p w:rsidR="00781B8F" w:rsidRPr="00781B8F" w:rsidRDefault="00781B8F" w:rsidP="00781B8F">
            <w:pPr>
              <w:spacing w:after="100" w:afterAutospacing="1" w:line="240" w:lineRule="auto"/>
              <w:rPr>
                <w:rFonts w:ascii="Times New Roman" w:eastAsia="Times New Roman" w:hAnsi="Times New Roman" w:cs="Times New Roman"/>
                <w:b/>
                <w:lang w:eastAsia="en-IN"/>
              </w:rPr>
            </w:pPr>
            <w:r w:rsidRPr="00781B8F">
              <w:rPr>
                <w:rFonts w:ascii="Times New Roman" w:eastAsia="Times New Roman" w:hAnsi="Times New Roman" w:cs="Times New Roman"/>
                <w:b/>
                <w:lang w:eastAsia="en-IN"/>
              </w:rPr>
              <w:t xml:space="preserve">                                   Website :</w:t>
            </w:r>
            <w:hyperlink r:id="rId4" w:history="1">
              <w:r w:rsidRPr="00781B8F">
                <w:rPr>
                  <w:rFonts w:ascii="Times New Roman" w:eastAsia="Times New Roman" w:hAnsi="Times New Roman" w:cs="Times New Roman"/>
                  <w:b/>
                  <w:color w:val="0000FF"/>
                  <w:lang w:eastAsia="en-IN"/>
                </w:rPr>
                <w:t>www.etender</w:t>
              </w:r>
            </w:hyperlink>
            <w:r w:rsidRPr="00781B8F">
              <w:rPr>
                <w:rFonts w:ascii="Times New Roman" w:eastAsia="Times New Roman" w:hAnsi="Times New Roman" w:cs="Times New Roman"/>
                <w:b/>
                <w:lang w:eastAsia="en-IN"/>
              </w:rPr>
              <w:t>.goa.gov.in</w:t>
            </w:r>
          </w:p>
          <w:p w:rsidR="00781B8F" w:rsidRPr="00781B8F" w:rsidRDefault="00781B8F" w:rsidP="00781B8F">
            <w:pPr>
              <w:tabs>
                <w:tab w:val="left" w:pos="3345"/>
              </w:tabs>
              <w:spacing w:after="100" w:afterAutospacing="1" w:line="240" w:lineRule="auto"/>
              <w:rPr>
                <w:rFonts w:ascii="Times New Roman" w:eastAsia="Times New Roman" w:hAnsi="Times New Roman" w:cs="Times New Roman"/>
                <w:lang w:eastAsia="en-IN"/>
              </w:rPr>
            </w:pPr>
            <w:r w:rsidRPr="00781B8F">
              <w:rPr>
                <w:rFonts w:ascii="Times New Roman" w:eastAsia="Times New Roman" w:hAnsi="Times New Roman" w:cs="Times New Roman"/>
                <w:lang w:eastAsia="en-IN"/>
              </w:rPr>
              <w:tab/>
            </w:r>
          </w:p>
          <w:p w:rsidR="00781B8F" w:rsidRPr="00781B8F" w:rsidRDefault="00781B8F" w:rsidP="00781B8F">
            <w:pPr>
              <w:spacing w:after="100" w:afterAutospacing="1" w:line="240" w:lineRule="auto"/>
              <w:rPr>
                <w:rFonts w:ascii="Times New Roman" w:eastAsia="Times New Roman" w:hAnsi="Times New Roman" w:cs="Times New Roman"/>
                <w:lang w:eastAsia="en-IN"/>
              </w:rPr>
            </w:pPr>
          </w:p>
          <w:p w:rsidR="00781B8F" w:rsidRPr="00781B8F" w:rsidRDefault="00781B8F" w:rsidP="00781B8F">
            <w:pPr>
              <w:spacing w:after="100" w:afterAutospacing="1" w:line="240" w:lineRule="auto"/>
              <w:jc w:val="right"/>
              <w:rPr>
                <w:rFonts w:ascii="Times New Roman" w:eastAsia="Times New Roman" w:hAnsi="Times New Roman" w:cs="Times New Roman"/>
                <w:b/>
                <w:lang w:eastAsia="en-IN"/>
              </w:rPr>
            </w:pPr>
            <w:r w:rsidRPr="00781B8F">
              <w:rPr>
                <w:rFonts w:ascii="Times New Roman" w:eastAsia="Times New Roman" w:hAnsi="Times New Roman" w:cs="Times New Roman"/>
                <w:b/>
                <w:lang w:eastAsia="en-IN"/>
              </w:rPr>
              <w:t>GENERAL MANAGER (ENGG.)</w:t>
            </w:r>
          </w:p>
          <w:p w:rsidR="00781B8F" w:rsidRPr="00781B8F" w:rsidRDefault="00781B8F" w:rsidP="00781B8F">
            <w:pPr>
              <w:spacing w:after="100" w:afterAutospacing="1" w:line="240" w:lineRule="auto"/>
              <w:jc w:val="right"/>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ind w:left="2160"/>
              <w:jc w:val="both"/>
              <w:rPr>
                <w:rFonts w:ascii="Cambria" w:eastAsia="Times New Roman" w:hAnsi="Cambria" w:cs="Times New Roman"/>
                <w:i/>
                <w:lang w:eastAsia="en-IN"/>
              </w:rPr>
            </w:pPr>
          </w:p>
        </w:tc>
      </w:tr>
    </w:tbl>
    <w:p w:rsidR="00781B8F" w:rsidRPr="00781B8F" w:rsidRDefault="00781B8F" w:rsidP="00781B8F">
      <w:pPr>
        <w:rPr>
          <w:rFonts w:ascii="Calibri" w:eastAsia="Times New Roman" w:hAnsi="Calibri" w:cs="Times New Roman"/>
          <w:lang w:eastAsia="en-IN"/>
        </w:rPr>
      </w:pPr>
      <w:r w:rsidRPr="00781B8F">
        <w:rPr>
          <w:rFonts w:ascii="Calibri" w:eastAsia="Times New Roman" w:hAnsi="Calibri" w:cs="Times New Roman"/>
          <w:lang w:eastAsia="en-IN"/>
        </w:rPr>
        <w:br w:type="page"/>
      </w:r>
    </w:p>
    <w:tbl>
      <w:tblPr>
        <w:tblW w:w="18428" w:type="dxa"/>
        <w:tblInd w:w="108" w:type="dxa"/>
        <w:tblLayout w:type="fixed"/>
        <w:tblLook w:val="04A0"/>
      </w:tblPr>
      <w:tblGrid>
        <w:gridCol w:w="9781"/>
        <w:gridCol w:w="8647"/>
      </w:tblGrid>
      <w:tr w:rsidR="00781B8F" w:rsidRPr="00781B8F" w:rsidTr="00591EE1">
        <w:trPr>
          <w:trHeight w:val="696"/>
        </w:trPr>
        <w:tc>
          <w:tcPr>
            <w:tcW w:w="9781" w:type="dxa"/>
          </w:tcPr>
          <w:p w:rsidR="00781B8F" w:rsidRPr="00781B8F" w:rsidRDefault="00781B8F" w:rsidP="00781B8F">
            <w:pPr>
              <w:spacing w:after="0" w:line="240" w:lineRule="auto"/>
              <w:jc w:val="both"/>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jc w:val="both"/>
              <w:rPr>
                <w:rFonts w:ascii="Cambria" w:eastAsia="Times New Roman" w:hAnsi="Cambria" w:cs="Times New Roman"/>
                <w:i/>
                <w:lang w:eastAsia="en-IN"/>
              </w:rPr>
            </w:pPr>
          </w:p>
        </w:tc>
      </w:tr>
      <w:tr w:rsidR="00781B8F" w:rsidRPr="00781B8F" w:rsidTr="00591EE1">
        <w:trPr>
          <w:trHeight w:val="80"/>
        </w:trPr>
        <w:tc>
          <w:tcPr>
            <w:tcW w:w="9781" w:type="dxa"/>
          </w:tcPr>
          <w:p w:rsidR="00781B8F" w:rsidRPr="00781B8F" w:rsidRDefault="00781B8F" w:rsidP="00781B8F">
            <w:pPr>
              <w:spacing w:after="0" w:line="240" w:lineRule="auto"/>
              <w:jc w:val="both"/>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jc w:val="both"/>
              <w:rPr>
                <w:rFonts w:ascii="Cambria" w:eastAsia="Times New Roman" w:hAnsi="Cambria" w:cs="Times New Roman"/>
                <w:i/>
                <w:lang w:eastAsia="en-IN"/>
              </w:rPr>
            </w:pPr>
          </w:p>
        </w:tc>
      </w:tr>
      <w:tr w:rsidR="00781B8F" w:rsidRPr="00781B8F" w:rsidTr="00591EE1">
        <w:trPr>
          <w:trHeight w:val="688"/>
        </w:trPr>
        <w:tc>
          <w:tcPr>
            <w:tcW w:w="9781" w:type="dxa"/>
          </w:tcPr>
          <w:p w:rsidR="00781B8F" w:rsidRPr="00781B8F" w:rsidRDefault="00781B8F" w:rsidP="00781B8F">
            <w:pPr>
              <w:spacing w:after="0" w:line="240" w:lineRule="auto"/>
              <w:rPr>
                <w:rFonts w:ascii="Calibri" w:eastAsia="Calibri" w:hAnsi="Calibri" w:cs="Times New Roman"/>
                <w:i/>
                <w:lang w:eastAsia="en-IN"/>
              </w:rPr>
            </w:pPr>
            <w:r w:rsidRPr="00781B8F">
              <w:rPr>
                <w:rFonts w:ascii="Calibri" w:eastAsia="Calibri" w:hAnsi="Calibri" w:cs="Times New Roman"/>
                <w:i/>
                <w:lang w:eastAsia="en-IN"/>
              </w:rPr>
              <w:t>No: - GIDC/GM (E)/Tender Notice/2014-15/A-</w:t>
            </w:r>
            <w:r w:rsidR="00AC72FC">
              <w:rPr>
                <w:rFonts w:ascii="Calibri" w:eastAsia="Calibri" w:hAnsi="Calibri" w:cs="Times New Roman"/>
                <w:i/>
                <w:lang w:eastAsia="en-IN"/>
              </w:rPr>
              <w:t>1</w:t>
            </w:r>
            <w:r w:rsidRPr="00781B8F">
              <w:rPr>
                <w:rFonts w:ascii="Calibri" w:eastAsia="Calibri" w:hAnsi="Calibri" w:cs="Times New Roman"/>
                <w:i/>
                <w:lang w:eastAsia="en-IN"/>
              </w:rPr>
              <w:tab/>
              <w:t xml:space="preserve">            </w:t>
            </w:r>
            <w:r w:rsidRPr="00781B8F">
              <w:rPr>
                <w:rFonts w:ascii="Calibri" w:eastAsia="Calibri" w:hAnsi="Calibri" w:cs="Times New Roman"/>
                <w:i/>
                <w:lang w:eastAsia="en-IN"/>
              </w:rPr>
              <w:tab/>
              <w:t xml:space="preserve">                                         Date: -19.05.2015</w:t>
            </w:r>
          </w:p>
          <w:p w:rsidR="00781B8F" w:rsidRPr="00781B8F" w:rsidRDefault="00781B8F" w:rsidP="00781B8F">
            <w:pPr>
              <w:spacing w:after="0" w:line="240" w:lineRule="auto"/>
              <w:rPr>
                <w:rFonts w:ascii="Calibri" w:eastAsia="Calibri" w:hAnsi="Calibri" w:cs="Times New Roman"/>
                <w:b/>
                <w:bCs/>
                <w:i/>
                <w:lang w:eastAsia="en-IN"/>
              </w:rPr>
            </w:pPr>
          </w:p>
          <w:p w:rsidR="00781B8F" w:rsidRPr="00781B8F" w:rsidRDefault="00781B8F" w:rsidP="00781B8F">
            <w:pPr>
              <w:spacing w:after="0" w:line="240" w:lineRule="auto"/>
              <w:jc w:val="center"/>
              <w:rPr>
                <w:rFonts w:ascii="Calibri" w:eastAsia="Calibri" w:hAnsi="Calibri" w:cs="Times New Roman"/>
                <w:b/>
                <w:bCs/>
                <w:i/>
                <w:lang w:eastAsia="en-IN"/>
              </w:rPr>
            </w:pPr>
            <w:r w:rsidRPr="00781B8F">
              <w:rPr>
                <w:rFonts w:ascii="Calibri" w:eastAsia="Calibri" w:hAnsi="Calibri" w:cs="Times New Roman"/>
                <w:b/>
                <w:bCs/>
                <w:i/>
                <w:lang w:eastAsia="en-IN"/>
              </w:rPr>
              <w:t>*</w:t>
            </w:r>
            <w:r w:rsidRPr="00781B8F">
              <w:rPr>
                <w:rFonts w:ascii="Calibri" w:eastAsia="Calibri" w:hAnsi="Calibri" w:cs="Times New Roman"/>
                <w:b/>
                <w:bCs/>
                <w:i/>
                <w:u w:val="single"/>
                <w:lang w:eastAsia="en-IN"/>
              </w:rPr>
              <w:t>TENDER NOTICE</w:t>
            </w:r>
            <w:r w:rsidRPr="00781B8F">
              <w:rPr>
                <w:rFonts w:ascii="Calibri" w:eastAsia="Calibri" w:hAnsi="Calibri" w:cs="Times New Roman"/>
                <w:b/>
                <w:bCs/>
                <w:i/>
                <w:lang w:eastAsia="en-IN"/>
              </w:rPr>
              <w:t xml:space="preserve"> *</w:t>
            </w:r>
          </w:p>
          <w:p w:rsidR="00781B8F" w:rsidRPr="00781B8F" w:rsidRDefault="00781B8F" w:rsidP="00781B8F">
            <w:pPr>
              <w:spacing w:after="0" w:line="240" w:lineRule="auto"/>
              <w:rPr>
                <w:rFonts w:ascii="Calibri" w:eastAsia="Calibri" w:hAnsi="Calibri" w:cs="Times New Roman"/>
                <w:i/>
                <w:lang w:eastAsia="en-IN"/>
              </w:rPr>
            </w:pPr>
          </w:p>
          <w:p w:rsidR="00781B8F" w:rsidRPr="00781B8F" w:rsidRDefault="00781B8F" w:rsidP="00781B8F">
            <w:pPr>
              <w:spacing w:after="0" w:line="240" w:lineRule="auto"/>
              <w:rPr>
                <w:rFonts w:ascii="Calibri" w:eastAsia="Calibri" w:hAnsi="Calibri" w:cs="Times New Roman"/>
                <w:i/>
                <w:lang w:eastAsia="en-IN"/>
              </w:rPr>
            </w:pPr>
            <w:r w:rsidRPr="00781B8F">
              <w:rPr>
                <w:rFonts w:ascii="Calibri" w:eastAsia="Calibri" w:hAnsi="Calibri" w:cs="Times New Roman"/>
                <w:b/>
                <w:i/>
                <w:lang w:eastAsia="en-IN"/>
              </w:rPr>
              <w:t>(E-Tendering Mode Only</w:t>
            </w:r>
            <w:r w:rsidRPr="00781B8F">
              <w:rPr>
                <w:rFonts w:ascii="Calibri" w:eastAsia="Calibri" w:hAnsi="Calibri" w:cs="Times New Roman"/>
                <w:i/>
                <w:lang w:eastAsia="en-IN"/>
              </w:rPr>
              <w:t>)</w:t>
            </w:r>
          </w:p>
          <w:p w:rsidR="00781B8F" w:rsidRPr="00781B8F" w:rsidRDefault="00781B8F" w:rsidP="00781B8F">
            <w:pPr>
              <w:spacing w:after="0" w:line="240" w:lineRule="auto"/>
              <w:rPr>
                <w:rFonts w:ascii="Calibri" w:eastAsia="Calibri" w:hAnsi="Calibri" w:cs="Times New Roman"/>
                <w:i/>
                <w:lang w:eastAsia="en-IN"/>
              </w:rPr>
            </w:pPr>
            <w:r w:rsidRPr="00781B8F">
              <w:rPr>
                <w:rFonts w:ascii="Calibri" w:eastAsia="Calibri" w:hAnsi="Calibri" w:cs="Times New Roman"/>
                <w:i/>
                <w:lang w:eastAsia="en-IN"/>
              </w:rPr>
              <w:t>The General Manager (Engg.) invites on behalf of Goa Industrial Development Corporation (GOA-IDC), Panaji-Goa  online item rate tenders from approved and eligible contractors of CPWD any state PWD, Goa-PWD registered in appropriate class and categories for the following works:</w:t>
            </w:r>
          </w:p>
          <w:p w:rsidR="00781B8F" w:rsidRPr="00781B8F" w:rsidRDefault="00781B8F" w:rsidP="00781B8F">
            <w:pPr>
              <w:spacing w:after="0" w:line="240" w:lineRule="auto"/>
              <w:rPr>
                <w:rFonts w:ascii="Calibri" w:eastAsia="Calibri" w:hAnsi="Calibri" w:cs="Times New Roman"/>
                <w:lang w:eastAsia="en-IN"/>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665"/>
              <w:gridCol w:w="1446"/>
              <w:gridCol w:w="1106"/>
              <w:gridCol w:w="850"/>
              <w:gridCol w:w="851"/>
              <w:gridCol w:w="1162"/>
              <w:gridCol w:w="964"/>
            </w:tblGrid>
            <w:tr w:rsidR="00781B8F" w:rsidRPr="00781B8F" w:rsidTr="00591EE1">
              <w:trPr>
                <w:trHeight w:val="1002"/>
              </w:trPr>
              <w:tc>
                <w:tcPr>
                  <w:tcW w:w="454"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Sr. no</w:t>
                  </w:r>
                </w:p>
              </w:tc>
              <w:tc>
                <w:tcPr>
                  <w:tcW w:w="2665"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Name of work and location</w:t>
                  </w:r>
                </w:p>
              </w:tc>
              <w:tc>
                <w:tcPr>
                  <w:tcW w:w="1446"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Estimated Cost put to tender in ₹.</w:t>
                  </w:r>
                </w:p>
              </w:tc>
              <w:tc>
                <w:tcPr>
                  <w:tcW w:w="1106"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Earnest Money Deposit</w:t>
                  </w:r>
                </w:p>
                <w:p w:rsidR="00781B8F" w:rsidRPr="00781B8F" w:rsidRDefault="00781B8F" w:rsidP="00781B8F">
                  <w:pPr>
                    <w:spacing w:after="0" w:line="240" w:lineRule="auto"/>
                    <w:rPr>
                      <w:rFonts w:ascii="Cambria" w:eastAsia="Times New Roman" w:hAnsi="Cambria" w:cs="Times New Roman"/>
                      <w:bCs/>
                      <w:lang w:eastAsia="en-IN"/>
                    </w:rPr>
                  </w:pPr>
                  <w:proofErr w:type="gramStart"/>
                  <w:r w:rsidRPr="00781B8F">
                    <w:rPr>
                      <w:rFonts w:ascii="Cambria" w:eastAsia="Times New Roman" w:hAnsi="Cambria" w:cs="Times New Roman"/>
                      <w:bCs/>
                      <w:lang w:eastAsia="en-IN"/>
                    </w:rPr>
                    <w:t>in</w:t>
                  </w:r>
                  <w:proofErr w:type="gramEnd"/>
                  <w:r w:rsidRPr="00781B8F">
                    <w:rPr>
                      <w:rFonts w:ascii="Cambria" w:eastAsia="Times New Roman" w:hAnsi="Cambria" w:cs="Times New Roman"/>
                      <w:bCs/>
                      <w:lang w:eastAsia="en-IN"/>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 xml:space="preserve">Cost of Tender </w:t>
                  </w:r>
                </w:p>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Document</w:t>
                  </w:r>
                </w:p>
                <w:p w:rsidR="00781B8F" w:rsidRPr="00781B8F" w:rsidRDefault="00781B8F" w:rsidP="00781B8F">
                  <w:pPr>
                    <w:spacing w:after="0" w:line="240" w:lineRule="auto"/>
                    <w:rPr>
                      <w:rFonts w:ascii="Cambria" w:eastAsia="Times New Roman" w:hAnsi="Cambria" w:cs="Times New Roman"/>
                      <w:bCs/>
                      <w:lang w:eastAsia="en-IN"/>
                    </w:rPr>
                  </w:pPr>
                  <w:proofErr w:type="gramStart"/>
                  <w:r w:rsidRPr="00781B8F">
                    <w:rPr>
                      <w:rFonts w:ascii="Cambria" w:eastAsia="Times New Roman" w:hAnsi="Cambria" w:cs="Times New Roman"/>
                      <w:bCs/>
                      <w:lang w:eastAsia="en-IN"/>
                    </w:rPr>
                    <w:t>in</w:t>
                  </w:r>
                  <w:proofErr w:type="gramEnd"/>
                  <w:r w:rsidRPr="00781B8F">
                    <w:rPr>
                      <w:rFonts w:ascii="Cambria" w:eastAsia="Times New Roman" w:hAnsi="Cambria" w:cs="Times New Roman"/>
                      <w:bCs/>
                      <w:lang w:eastAsia="en-I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Tender Processing fee</w:t>
                  </w:r>
                </w:p>
                <w:p w:rsidR="00781B8F" w:rsidRPr="00781B8F" w:rsidRDefault="00781B8F" w:rsidP="00781B8F">
                  <w:pPr>
                    <w:spacing w:after="0" w:line="240" w:lineRule="auto"/>
                    <w:rPr>
                      <w:rFonts w:ascii="Cambria" w:eastAsia="Times New Roman" w:hAnsi="Cambria" w:cs="Times New Roman"/>
                      <w:bCs/>
                      <w:lang w:eastAsia="en-IN"/>
                    </w:rPr>
                  </w:pPr>
                  <w:proofErr w:type="gramStart"/>
                  <w:r w:rsidRPr="00781B8F">
                    <w:rPr>
                      <w:rFonts w:ascii="Cambria" w:eastAsia="Times New Roman" w:hAnsi="Cambria" w:cs="Times New Roman"/>
                      <w:bCs/>
                      <w:lang w:eastAsia="en-IN"/>
                    </w:rPr>
                    <w:t>in</w:t>
                  </w:r>
                  <w:proofErr w:type="gramEnd"/>
                  <w:r w:rsidRPr="00781B8F">
                    <w:rPr>
                      <w:rFonts w:ascii="Cambria" w:eastAsia="Times New Roman" w:hAnsi="Cambria" w:cs="Times New Roman"/>
                      <w:bCs/>
                      <w:lang w:eastAsia="en-IN"/>
                    </w:rPr>
                    <w:t xml:space="preserve"> ₹..</w:t>
                  </w:r>
                </w:p>
              </w:tc>
              <w:tc>
                <w:tcPr>
                  <w:tcW w:w="1162" w:type="dxa"/>
                  <w:vMerge w:val="restart"/>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Class and Category of Contractor</w:t>
                  </w:r>
                </w:p>
              </w:tc>
              <w:tc>
                <w:tcPr>
                  <w:tcW w:w="964" w:type="dxa"/>
                  <w:vMerge w:val="restart"/>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 xml:space="preserve">Period of </w:t>
                  </w:r>
                  <w:proofErr w:type="spellStart"/>
                  <w:r w:rsidRPr="00781B8F">
                    <w:rPr>
                      <w:rFonts w:ascii="Cambria" w:eastAsia="Times New Roman" w:hAnsi="Cambria" w:cs="Times New Roman"/>
                      <w:bCs/>
                      <w:lang w:eastAsia="en-IN"/>
                    </w:rPr>
                    <w:t>Comple-tion</w:t>
                  </w:r>
                  <w:proofErr w:type="spellEnd"/>
                  <w:r w:rsidRPr="00781B8F">
                    <w:rPr>
                      <w:rFonts w:ascii="Cambria" w:eastAsia="Times New Roman" w:hAnsi="Cambria" w:cs="Times New Roman"/>
                      <w:bCs/>
                      <w:lang w:eastAsia="en-IN"/>
                    </w:rPr>
                    <w:t xml:space="preserve"> (in-</w:t>
                  </w:r>
                  <w:proofErr w:type="spellStart"/>
                  <w:r w:rsidRPr="00781B8F">
                    <w:rPr>
                      <w:rFonts w:ascii="Cambria" w:eastAsia="Times New Roman" w:hAnsi="Cambria" w:cs="Times New Roman"/>
                      <w:bCs/>
                      <w:lang w:eastAsia="en-IN"/>
                    </w:rPr>
                    <w:t>cluding</w:t>
                  </w:r>
                  <w:proofErr w:type="spellEnd"/>
                  <w:r w:rsidRPr="00781B8F">
                    <w:rPr>
                      <w:rFonts w:ascii="Cambria" w:eastAsia="Times New Roman" w:hAnsi="Cambria" w:cs="Times New Roman"/>
                      <w:bCs/>
                      <w:lang w:eastAsia="en-IN"/>
                    </w:rPr>
                    <w:t xml:space="preserve"> monsoon)</w:t>
                  </w:r>
                </w:p>
                <w:p w:rsidR="00781B8F" w:rsidRPr="00781B8F" w:rsidRDefault="00781B8F" w:rsidP="00781B8F">
                  <w:pPr>
                    <w:spacing w:after="0" w:line="240" w:lineRule="auto"/>
                    <w:rPr>
                      <w:rFonts w:ascii="Cambria" w:eastAsia="Times New Roman" w:hAnsi="Cambria" w:cs="Times New Roman"/>
                      <w:bCs/>
                      <w:lang w:eastAsia="en-IN"/>
                    </w:rPr>
                  </w:pPr>
                  <w:r w:rsidRPr="00781B8F">
                    <w:rPr>
                      <w:rFonts w:ascii="Cambria" w:eastAsia="Times New Roman" w:hAnsi="Cambria" w:cs="Times New Roman"/>
                      <w:bCs/>
                      <w:lang w:eastAsia="en-IN"/>
                    </w:rPr>
                    <w:t>In days</w:t>
                  </w:r>
                </w:p>
              </w:tc>
            </w:tr>
            <w:tr w:rsidR="00781B8F" w:rsidRPr="00781B8F" w:rsidTr="00591EE1">
              <w:trPr>
                <w:trHeight w:val="502"/>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mbria" w:eastAsia="Times New Roman" w:hAnsi="Cambria" w:cs="Times New Roman"/>
                      <w:bCs/>
                      <w:lang w:eastAsia="en-IN"/>
                    </w:rPr>
                  </w:pP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mbria" w:eastAsia="Times New Roman" w:hAnsi="Cambria" w:cs="Times New Roman"/>
                      <w:bCs/>
                      <w:lang w:eastAsia="en-IN"/>
                    </w:rPr>
                  </w:pP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mbria" w:eastAsia="Times New Roman" w:hAnsi="Cambria" w:cs="Times New Roman"/>
                      <w:bCs/>
                      <w:lang w:eastAsia="en-IN"/>
                    </w:rPr>
                  </w:pPr>
                </w:p>
              </w:tc>
              <w:tc>
                <w:tcPr>
                  <w:tcW w:w="2807" w:type="dxa"/>
                  <w:gridSpan w:val="3"/>
                  <w:tcBorders>
                    <w:top w:val="single" w:sz="4" w:space="0" w:color="auto"/>
                    <w:left w:val="single" w:sz="4" w:space="0" w:color="auto"/>
                    <w:bottom w:val="single" w:sz="4" w:space="0" w:color="auto"/>
                    <w:right w:val="single" w:sz="4" w:space="0" w:color="auto"/>
                  </w:tcBorders>
                  <w:hideMark/>
                </w:tcPr>
                <w:p w:rsidR="00781B8F" w:rsidRPr="00781B8F" w:rsidRDefault="00781B8F" w:rsidP="00781B8F">
                  <w:pPr>
                    <w:spacing w:after="0" w:line="240" w:lineRule="auto"/>
                    <w:rPr>
                      <w:rFonts w:ascii="Cambria" w:eastAsia="Times New Roman" w:hAnsi="Cambria" w:cs="Times New Roman"/>
                      <w:b/>
                      <w:bCs/>
                      <w:lang w:eastAsia="en-IN"/>
                    </w:rPr>
                  </w:pPr>
                  <w:r w:rsidRPr="00781B8F">
                    <w:rPr>
                      <w:rFonts w:ascii="Cambria" w:eastAsia="Times New Roman" w:hAnsi="Cambria" w:cs="Times New Roman"/>
                      <w:b/>
                      <w:bCs/>
                      <w:lang w:eastAsia="en-IN"/>
                    </w:rPr>
                    <w:t>Mode of payment : E-payment only</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781B8F" w:rsidRPr="00781B8F" w:rsidRDefault="00781B8F" w:rsidP="00781B8F">
                  <w:pPr>
                    <w:spacing w:after="0" w:line="240" w:lineRule="auto"/>
                    <w:rPr>
                      <w:rFonts w:ascii="Cambria" w:eastAsia="Times New Roman" w:hAnsi="Cambria" w:cs="Times New Roman"/>
                      <w:bCs/>
                      <w:lang w:eastAsia="en-I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81B8F" w:rsidRPr="00781B8F" w:rsidRDefault="00781B8F" w:rsidP="00781B8F">
                  <w:pPr>
                    <w:spacing w:after="0" w:line="240" w:lineRule="auto"/>
                    <w:rPr>
                      <w:rFonts w:ascii="Cambria" w:eastAsia="Times New Roman" w:hAnsi="Cambria" w:cs="Times New Roman"/>
                      <w:bCs/>
                      <w:lang w:eastAsia="en-IN"/>
                    </w:rPr>
                  </w:pPr>
                </w:p>
              </w:tc>
            </w:tr>
            <w:tr w:rsidR="00781B8F" w:rsidRPr="00781B8F" w:rsidTr="00591EE1">
              <w:trPr>
                <w:trHeight w:val="944"/>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Electrical installation to the canteen building at Cuncolim Industrial Estate</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3,37,701-</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1200/-</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1200/-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338/-</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II-Elect.&amp;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45</w:t>
                  </w:r>
                </w:p>
              </w:tc>
            </w:tr>
            <w:tr w:rsidR="00781B8F" w:rsidRPr="00781B8F" w:rsidTr="00591EE1">
              <w:trPr>
                <w:trHeight w:val="935"/>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2.</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Repairs to the main compound wall at Bethora Industrial Estate</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5,25,266.75</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10,510/-</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525/-</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III-RBLD/BLDG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60</w:t>
                  </w:r>
                </w:p>
              </w:tc>
            </w:tr>
            <w:tr w:rsidR="00781B8F" w:rsidRPr="00781B8F" w:rsidTr="00591EE1">
              <w:trPr>
                <w:trHeight w:val="812"/>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Roofing for Canteen and Admn. Building at Bethora Industrial Estate</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13,75,458.10</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27,510/-</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1375/-</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III-BLDG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90</w:t>
                  </w:r>
                </w:p>
              </w:tc>
            </w:tr>
            <w:tr w:rsidR="00781B8F" w:rsidRPr="00781B8F" w:rsidTr="00591EE1">
              <w:trPr>
                <w:trHeight w:val="1555"/>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4.</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Excavation of pit for rain water recharge including its fencing in open space near plot no.N-30C at Verna Industrial Estate.</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4,60,686.80</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9,215/-</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1200/-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461/-</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III-RBLD/BLDG &amp;Above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25</w:t>
                  </w:r>
                </w:p>
              </w:tc>
            </w:tr>
            <w:tr w:rsidR="00781B8F" w:rsidRPr="00781B8F" w:rsidTr="00591EE1">
              <w:trPr>
                <w:trHeight w:val="1123"/>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5.</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Construction of retaining wall adjacent to plot no.N-30D at Verna Industrial Estate</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3,37,068/-</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6,745/-</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1200/-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337/-</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IVRBLD/BLDG RBLD&amp;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45</w:t>
                  </w:r>
                </w:p>
              </w:tc>
            </w:tr>
            <w:tr w:rsidR="00781B8F" w:rsidRPr="00781B8F" w:rsidTr="00591EE1">
              <w:trPr>
                <w:trHeight w:val="1414"/>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6.</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Maintenance and improvement work at canteen-I at Honda Industrial Estate Phase-I .(2</w:t>
                  </w:r>
                  <w:r w:rsidRPr="00781B8F">
                    <w:rPr>
                      <w:rFonts w:ascii="Calibri" w:eastAsia="Times New Roman" w:hAnsi="Calibri" w:cs="Times New Roman"/>
                      <w:i/>
                      <w:vertAlign w:val="superscript"/>
                      <w:lang w:eastAsia="en-IN"/>
                    </w:rPr>
                    <w:t>nd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33,45,278.54</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66,906/-</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3346/-</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III-BLDG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150</w:t>
                  </w:r>
                </w:p>
              </w:tc>
            </w:tr>
            <w:tr w:rsidR="00781B8F" w:rsidRPr="00781B8F" w:rsidTr="00591EE1">
              <w:trPr>
                <w:trHeight w:val="1417"/>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Maintenance and improvement work at canteen-II at Honda Industrial Estate Phase-II .(2</w:t>
                  </w:r>
                  <w:r w:rsidRPr="00781B8F">
                    <w:rPr>
                      <w:rFonts w:ascii="Calibri" w:eastAsia="Times New Roman" w:hAnsi="Calibri" w:cs="Times New Roman"/>
                      <w:i/>
                      <w:vertAlign w:val="superscript"/>
                      <w:lang w:eastAsia="en-IN"/>
                    </w:rPr>
                    <w:t>nd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13,85,058.81</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27,702/-</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1386/-</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III-BLDG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90</w:t>
                  </w:r>
                </w:p>
              </w:tc>
            </w:tr>
            <w:tr w:rsidR="00781B8F" w:rsidRPr="00781B8F" w:rsidTr="00591EE1">
              <w:trPr>
                <w:trHeight w:val="1058"/>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8.</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Providing Boom Barriers for proposed gate houses at Thivim Industrial Estate (2</w:t>
                  </w:r>
                  <w:r w:rsidRPr="00781B8F">
                    <w:rPr>
                      <w:rFonts w:ascii="Calibri" w:eastAsia="Times New Roman" w:hAnsi="Calibri" w:cs="Times New Roman"/>
                      <w:i/>
                      <w:vertAlign w:val="superscript"/>
                      <w:lang w:eastAsia="en-IN"/>
                    </w:rPr>
                    <w:t>nd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8,31,064.64</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16,622/-</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832/-</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60</w:t>
                  </w:r>
                </w:p>
              </w:tc>
            </w:tr>
            <w:tr w:rsidR="00781B8F" w:rsidRPr="00781B8F" w:rsidTr="00591EE1">
              <w:trPr>
                <w:trHeight w:val="1102"/>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9..</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Up gradation of infrastructure facilities at Shiroda Industrial Estate-Electrical works (3</w:t>
                  </w:r>
                  <w:r w:rsidRPr="00781B8F">
                    <w:rPr>
                      <w:rFonts w:ascii="Calibri" w:eastAsia="Times New Roman" w:hAnsi="Calibri" w:cs="Times New Roman"/>
                      <w:i/>
                      <w:vertAlign w:val="superscript"/>
                      <w:lang w:eastAsia="en-IN"/>
                    </w:rPr>
                    <w:t>rd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21,25,985/-</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42,502/-</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2125/-</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p>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I-Electrical</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75</w:t>
                  </w:r>
                </w:p>
              </w:tc>
            </w:tr>
            <w:tr w:rsidR="00781B8F" w:rsidRPr="00781B8F" w:rsidTr="00591EE1">
              <w:trPr>
                <w:trHeight w:val="834"/>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10</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Renovation of IDC canteen Building at Kakoda Industrial Estate.(3</w:t>
                  </w:r>
                  <w:r w:rsidRPr="00781B8F">
                    <w:rPr>
                      <w:rFonts w:ascii="Calibri" w:eastAsia="Times New Roman" w:hAnsi="Calibri" w:cs="Times New Roman"/>
                      <w:i/>
                      <w:vertAlign w:val="superscript"/>
                      <w:lang w:eastAsia="en-IN"/>
                    </w:rPr>
                    <w:t>rd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37,86,893/-</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75,738/-</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3787/-</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II-BLDG &amp; above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225</w:t>
                  </w:r>
                </w:p>
              </w:tc>
            </w:tr>
            <w:tr w:rsidR="00781B8F" w:rsidRPr="00781B8F" w:rsidTr="00591EE1">
              <w:trPr>
                <w:trHeight w:val="792"/>
              </w:trPr>
              <w:tc>
                <w:tcPr>
                  <w:tcW w:w="45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11</w:t>
                  </w:r>
                </w:p>
              </w:tc>
              <w:tc>
                <w:tcPr>
                  <w:tcW w:w="2665"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Supply of man power to GOA-IDC at different works.( 2</w:t>
                  </w:r>
                  <w:r w:rsidRPr="00781B8F">
                    <w:rPr>
                      <w:rFonts w:ascii="Calibri" w:eastAsia="Times New Roman" w:hAnsi="Calibri" w:cs="Times New Roman"/>
                      <w:i/>
                      <w:vertAlign w:val="superscript"/>
                      <w:lang w:eastAsia="en-IN"/>
                    </w:rPr>
                    <w:t>nd</w:t>
                  </w:r>
                  <w:r w:rsidRPr="00781B8F">
                    <w:rPr>
                      <w:rFonts w:ascii="Calibri" w:eastAsia="Times New Roman" w:hAnsi="Calibri" w:cs="Times New Roman"/>
                      <w:i/>
                      <w:lang w:eastAsia="en-IN"/>
                    </w:rPr>
                    <w:t xml:space="preserve">  Call)</w:t>
                  </w:r>
                </w:p>
              </w:tc>
              <w:tc>
                <w:tcPr>
                  <w:tcW w:w="144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14,08,819/-</w:t>
                  </w:r>
                </w:p>
              </w:tc>
              <w:tc>
                <w:tcPr>
                  <w:tcW w:w="1106"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28,180/-</w:t>
                  </w:r>
                </w:p>
              </w:tc>
              <w:tc>
                <w:tcPr>
                  <w:tcW w:w="850"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2000/-</w:t>
                  </w:r>
                </w:p>
              </w:tc>
              <w:tc>
                <w:tcPr>
                  <w:tcW w:w="851"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1409/-</w:t>
                  </w:r>
                </w:p>
              </w:tc>
              <w:tc>
                <w:tcPr>
                  <w:tcW w:w="1162"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lang w:val="en-US" w:eastAsia="en-IN"/>
                    </w:rPr>
                  </w:pPr>
                  <w:r w:rsidRPr="00781B8F">
                    <w:rPr>
                      <w:rFonts w:ascii="Calibri" w:eastAsia="Times New Roman" w:hAnsi="Calibri" w:cs="Times New Roman"/>
                      <w:lang w:val="en-US" w:eastAsia="en-IN"/>
                    </w:rPr>
                    <w:t>Agency registered with Govt. for the purpose</w:t>
                  </w:r>
                </w:p>
              </w:tc>
              <w:tc>
                <w:tcPr>
                  <w:tcW w:w="964" w:type="dxa"/>
                  <w:tcBorders>
                    <w:top w:val="single" w:sz="4" w:space="0" w:color="auto"/>
                    <w:left w:val="single" w:sz="4" w:space="0" w:color="auto"/>
                    <w:bottom w:val="single" w:sz="4" w:space="0" w:color="auto"/>
                    <w:right w:val="single" w:sz="4" w:space="0" w:color="auto"/>
                  </w:tcBorders>
                </w:tcPr>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p>
                <w:p w:rsidR="00781B8F" w:rsidRPr="00781B8F" w:rsidRDefault="00781B8F" w:rsidP="00781B8F">
                  <w:pPr>
                    <w:spacing w:after="0" w:line="240" w:lineRule="auto"/>
                    <w:rPr>
                      <w:rFonts w:ascii="Calibri" w:eastAsia="Times New Roman" w:hAnsi="Calibri" w:cs="Times New Roman"/>
                      <w:bCs/>
                      <w:lang w:eastAsia="en-IN"/>
                    </w:rPr>
                  </w:pPr>
                  <w:r w:rsidRPr="00781B8F">
                    <w:rPr>
                      <w:rFonts w:ascii="Calibri" w:eastAsia="Times New Roman" w:hAnsi="Calibri" w:cs="Times New Roman"/>
                      <w:bCs/>
                      <w:lang w:eastAsia="en-IN"/>
                    </w:rPr>
                    <w:t>-</w:t>
                  </w:r>
                </w:p>
              </w:tc>
            </w:tr>
          </w:tbl>
          <w:p w:rsidR="00781B8F" w:rsidRPr="00781B8F" w:rsidRDefault="00781B8F" w:rsidP="00781B8F">
            <w:pPr>
              <w:spacing w:after="0" w:line="240" w:lineRule="auto"/>
              <w:rPr>
                <w:rFonts w:ascii="Calibri" w:eastAsia="Times New Roman" w:hAnsi="Calibri" w:cs="Times New Roman"/>
                <w:b/>
                <w:bCs/>
                <w:u w:val="single"/>
                <w:lang w:eastAsia="en-IN"/>
              </w:rPr>
            </w:pPr>
          </w:p>
          <w:p w:rsidR="00781B8F" w:rsidRPr="00781B8F" w:rsidRDefault="00781B8F" w:rsidP="00781B8F">
            <w:pPr>
              <w:spacing w:after="0" w:line="240" w:lineRule="auto"/>
              <w:rPr>
                <w:rFonts w:ascii="Calibri" w:eastAsia="Times New Roman" w:hAnsi="Calibri" w:cs="Times New Roman"/>
                <w:b/>
                <w:bCs/>
                <w:u w:val="single"/>
                <w:lang w:eastAsia="en-IN"/>
              </w:rPr>
            </w:pPr>
          </w:p>
          <w:p w:rsidR="00781B8F" w:rsidRPr="00781B8F" w:rsidRDefault="00781B8F" w:rsidP="00781B8F">
            <w:pPr>
              <w:spacing w:after="0" w:line="240" w:lineRule="auto"/>
              <w:rPr>
                <w:rFonts w:ascii="Calibri" w:eastAsia="Times New Roman" w:hAnsi="Calibri" w:cs="Times New Roman"/>
                <w:b/>
                <w:bCs/>
                <w:u w:val="single"/>
                <w:lang w:eastAsia="en-IN"/>
              </w:rPr>
            </w:pPr>
          </w:p>
          <w:p w:rsidR="00781B8F" w:rsidRPr="00781B8F" w:rsidRDefault="00781B8F" w:rsidP="00781B8F">
            <w:pPr>
              <w:spacing w:after="0" w:line="240" w:lineRule="auto"/>
              <w:rPr>
                <w:rFonts w:ascii="Calibri" w:eastAsia="Times New Roman" w:hAnsi="Calibri" w:cs="Times New Roman"/>
                <w:b/>
                <w:bCs/>
                <w:i/>
                <w:u w:val="single"/>
                <w:lang w:eastAsia="en-IN"/>
              </w:rPr>
            </w:pPr>
          </w:p>
          <w:p w:rsidR="00781B8F" w:rsidRPr="00781B8F" w:rsidRDefault="00781B8F" w:rsidP="00781B8F">
            <w:pPr>
              <w:spacing w:after="0" w:line="240" w:lineRule="auto"/>
              <w:rPr>
                <w:rFonts w:ascii="Calibri" w:eastAsia="Times New Roman" w:hAnsi="Calibri" w:cs="Times New Roman"/>
                <w:b/>
                <w:bCs/>
                <w:i/>
                <w:u w:val="single"/>
                <w:lang w:eastAsia="en-IN"/>
              </w:rPr>
            </w:pPr>
            <w:r w:rsidRPr="00781B8F">
              <w:rPr>
                <w:rFonts w:ascii="Calibri" w:eastAsia="Times New Roman" w:hAnsi="Calibri" w:cs="Times New Roman"/>
                <w:b/>
                <w:bCs/>
                <w:i/>
                <w:u w:val="single"/>
                <w:lang w:eastAsia="en-IN"/>
              </w:rPr>
              <w:t xml:space="preserve">TENDER SCHEDULE </w:t>
            </w:r>
          </w:p>
          <w:p w:rsidR="00781B8F" w:rsidRPr="00781B8F" w:rsidRDefault="00781B8F" w:rsidP="00781B8F">
            <w:pPr>
              <w:spacing w:after="0" w:line="240" w:lineRule="auto"/>
              <w:rPr>
                <w:rFonts w:ascii="Calibri" w:eastAsia="Times New Roman" w:hAnsi="Calibri" w:cs="Times New Roman"/>
                <w:b/>
                <w:bCs/>
                <w:i/>
                <w:u w:val="single"/>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 The last date of online application is 28/05/2015 up to 11.00 hrs.</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 xml:space="preserve">2. The last date of online submission of tender is 28/05/2015 up to 15.00 hrs. </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3.The date &amp; time of opening of online tender is 28/05/2015 after 15.30 hrs in the office of the General  Manager(Engg.), GOA-IDC,EDC Complex, Patto Plaza ,Panaji-Goa</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The online application should accompany the following documents (Scan and Upload on the e-Tender website):</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I. Attested copy of valid Registration Certificate.</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II. Attested copy of PAN Card</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b/>
                <w:i/>
                <w:color w:val="FF0000"/>
                <w:highlight w:val="yellow"/>
                <w:lang w:eastAsia="en-IN"/>
              </w:rPr>
            </w:pPr>
            <w:r w:rsidRPr="00781B8F">
              <w:rPr>
                <w:rFonts w:ascii="Calibri" w:eastAsia="Times New Roman" w:hAnsi="Calibri" w:cs="Times New Roman"/>
                <w:b/>
                <w:i/>
                <w:color w:val="FF0000"/>
                <w:highlight w:val="yellow"/>
                <w:lang w:eastAsia="en-IN"/>
              </w:rPr>
              <w:t xml:space="preserve">Mode of Payment towards Cost of the Tender Document, EMD &amp; Tender Processing Fee: To be paid online through  e-payment mode via NEFT/RTGS/OTC/debit card/credit card facility/net banking with pre-printed </w:t>
            </w:r>
            <w:proofErr w:type="spellStart"/>
            <w:r w:rsidRPr="00781B8F">
              <w:rPr>
                <w:rFonts w:ascii="Calibri" w:eastAsia="Times New Roman" w:hAnsi="Calibri" w:cs="Times New Roman"/>
                <w:b/>
                <w:i/>
                <w:color w:val="FF0000"/>
                <w:highlight w:val="yellow"/>
                <w:lang w:eastAsia="en-IN"/>
              </w:rPr>
              <w:t>challans</w:t>
            </w:r>
            <w:proofErr w:type="spellEnd"/>
            <w:r w:rsidRPr="00781B8F">
              <w:rPr>
                <w:rFonts w:ascii="Calibri" w:eastAsia="Times New Roman" w:hAnsi="Calibri" w:cs="Times New Roman"/>
                <w:b/>
                <w:i/>
                <w:color w:val="FF0000"/>
                <w:highlight w:val="yellow"/>
                <w:lang w:eastAsia="en-IN"/>
              </w:rPr>
              <w:t xml:space="preserve"> available on e-tendering website and directly credit the amount to ITG account as generated by </w:t>
            </w:r>
            <w:proofErr w:type="spellStart"/>
            <w:r w:rsidRPr="00781B8F">
              <w:rPr>
                <w:rFonts w:ascii="Calibri" w:eastAsia="Times New Roman" w:hAnsi="Calibri" w:cs="Times New Roman"/>
                <w:b/>
                <w:i/>
                <w:color w:val="FF0000"/>
                <w:highlight w:val="yellow"/>
                <w:lang w:eastAsia="en-IN"/>
              </w:rPr>
              <w:t>challans</w:t>
            </w:r>
            <w:proofErr w:type="spellEnd"/>
            <w:r w:rsidRPr="00781B8F">
              <w:rPr>
                <w:rFonts w:ascii="Calibri" w:eastAsia="Times New Roman" w:hAnsi="Calibri" w:cs="Times New Roman"/>
                <w:b/>
                <w:i/>
                <w:color w:val="FF0000"/>
                <w:highlight w:val="yellow"/>
                <w:lang w:eastAsia="en-IN"/>
              </w:rPr>
              <w:t xml:space="preserve"> for NEFT/RTGS/OTC.</w:t>
            </w:r>
          </w:p>
          <w:p w:rsidR="00781B8F" w:rsidRPr="00781B8F" w:rsidRDefault="00781B8F" w:rsidP="00781B8F">
            <w:pPr>
              <w:spacing w:after="0" w:line="240" w:lineRule="auto"/>
              <w:rPr>
                <w:rFonts w:ascii="Calibri" w:eastAsia="Times New Roman" w:hAnsi="Calibri" w:cs="Times New Roman"/>
                <w:b/>
                <w:i/>
                <w:color w:val="FF0000"/>
                <w:highlight w:val="yellow"/>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III. The applicant should upload the scanned of the declaration in prescribed format (Annexure –A) giving the names of the works in hand in the above mentioned category on stamp paper of `50/-</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b/>
                <w:bCs/>
                <w:i/>
                <w:u w:val="single"/>
                <w:lang w:eastAsia="en-IN"/>
              </w:rPr>
            </w:pPr>
            <w:r w:rsidRPr="00781B8F">
              <w:rPr>
                <w:rFonts w:ascii="Calibri" w:eastAsia="Times New Roman" w:hAnsi="Calibri" w:cs="Times New Roman"/>
                <w:b/>
                <w:bCs/>
                <w:i/>
                <w:u w:val="single"/>
                <w:lang w:eastAsia="en-IN"/>
              </w:rPr>
              <w:t>INSTRUCTIONS TO CONTRACTORS</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 The intending bidder must agree to the terms and conditions of CPWD Form-6 &amp; 8. He should only submit his bid if he considers himself eligible and he is in possession of all the documents required.</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2. Information and Instructions for bidders posted on website shall form part of bid document.</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 xml:space="preserve">3. The bid document consisting of plans, specifications, the schedule of quantity of various types of items to be executed and the set of terms and conditions of the contract to be complied with and other necessary </w:t>
            </w:r>
            <w:r w:rsidRPr="00781B8F">
              <w:rPr>
                <w:rFonts w:ascii="Calibri" w:eastAsia="Times New Roman" w:hAnsi="Calibri" w:cs="Times New Roman"/>
                <w:i/>
                <w:lang w:eastAsia="en-IN"/>
              </w:rPr>
              <w:lastRenderedPageBreak/>
              <w:t xml:space="preserve">documents can be seen and downloaded from website </w:t>
            </w:r>
            <w:hyperlink r:id="rId5" w:history="1">
              <w:r w:rsidRPr="00781B8F">
                <w:rPr>
                  <w:rFonts w:ascii="Calibri" w:eastAsia="Times New Roman" w:hAnsi="Calibri" w:cs="Times New Roman"/>
                  <w:i/>
                  <w:color w:val="0000FF"/>
                  <w:u w:val="single"/>
                  <w:lang w:eastAsia="en-IN"/>
                </w:rPr>
                <w:t>www.tenderwizard.com/GOA</w:t>
              </w:r>
            </w:hyperlink>
            <w:r w:rsidRPr="00781B8F">
              <w:rPr>
                <w:rFonts w:ascii="Calibri" w:eastAsia="Times New Roman" w:hAnsi="Calibri" w:cs="Times New Roman"/>
                <w:i/>
                <w:lang w:eastAsia="en-IN"/>
              </w:rPr>
              <w:t xml:space="preserve"> as applicable. </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4. Those bidders not registered on the website mentioned above, are required to get registered beforehand. If needed they can be imparted training on online bidding process as per details available on the website.</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5. The intending bidder must have / obtain a valid Class-III digital signature to submit the bid.</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6. On opening date, the contractor can login and see the bid opening process. After opening of bids he will 7.In addition to this, while selecting any of the cells a warning appears that if any cell is left blank the same shall be treated as "0". Therefore, if any cell is left blank and no rate is quoted by the bidder, rate of such item shall be treated as "0" (ZERO) &amp; will be treated as incomplete tender &amp; will be rejected outright. Also name of the bidder should be entered in respective cell</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 xml:space="preserve">8. The tenderer shall be responsible for the correctness and genuineness of the documents uploaded during tender submission.  Any discrepancies in the matter will be liable for rejection and suitable action. </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9. No Hardcopies of the documents to be submitted in the tender box.</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10.The Mentioned at Sr.No.12 should be quoted in percentage tender</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Incomplete applications shall be summarily rejected and right to reject any or all the tenders including the lowest without assigning any reason thereof is reserved.</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On and Behalf of GOA-IDC.</w:t>
            </w:r>
          </w:p>
          <w:p w:rsidR="00781B8F" w:rsidRPr="00781B8F" w:rsidRDefault="00781B8F" w:rsidP="00781B8F">
            <w:pPr>
              <w:spacing w:after="0" w:line="240" w:lineRule="auto"/>
              <w:rPr>
                <w:rFonts w:ascii="Calibri" w:eastAsia="Times New Roman" w:hAnsi="Calibri" w:cs="Times New Roman"/>
                <w:b/>
                <w:bCs/>
                <w:i/>
                <w:lang w:eastAsia="en-IN"/>
              </w:rPr>
            </w:pPr>
            <w:r w:rsidRPr="00781B8F">
              <w:rPr>
                <w:rFonts w:ascii="Calibri" w:eastAsia="Times New Roman" w:hAnsi="Calibri" w:cs="Times New Roman"/>
                <w:b/>
                <w:bCs/>
                <w:i/>
                <w:lang w:eastAsia="en-IN"/>
              </w:rPr>
              <w:t xml:space="preserve">                     </w:t>
            </w:r>
          </w:p>
          <w:p w:rsidR="00781B8F" w:rsidRPr="00781B8F" w:rsidRDefault="00781B8F" w:rsidP="00781B8F">
            <w:pPr>
              <w:spacing w:after="0" w:line="240" w:lineRule="auto"/>
              <w:rPr>
                <w:rFonts w:ascii="Calibri" w:eastAsia="Times New Roman" w:hAnsi="Calibri" w:cs="Times New Roman"/>
                <w:b/>
                <w:bCs/>
                <w:i/>
                <w:lang w:eastAsia="en-IN"/>
              </w:rPr>
            </w:pPr>
          </w:p>
          <w:p w:rsidR="00781B8F" w:rsidRPr="00781B8F" w:rsidRDefault="00781B8F" w:rsidP="00781B8F">
            <w:pPr>
              <w:spacing w:after="0" w:line="240" w:lineRule="auto"/>
              <w:rPr>
                <w:rFonts w:ascii="Calibri" w:eastAsia="Times New Roman" w:hAnsi="Calibri" w:cs="Times New Roman"/>
                <w:b/>
                <w:bCs/>
                <w:i/>
                <w:lang w:eastAsia="en-IN"/>
              </w:rPr>
            </w:pPr>
            <w:r w:rsidRPr="00781B8F">
              <w:rPr>
                <w:rFonts w:ascii="Calibri" w:eastAsia="Times New Roman" w:hAnsi="Calibri" w:cs="Times New Roman"/>
                <w:b/>
                <w:bCs/>
                <w:i/>
                <w:lang w:eastAsia="en-IN"/>
              </w:rPr>
              <w:t xml:space="preserve">                                                                                            </w:t>
            </w:r>
          </w:p>
          <w:p w:rsidR="00781B8F" w:rsidRPr="00781B8F" w:rsidRDefault="00781B8F" w:rsidP="00781B8F">
            <w:pPr>
              <w:spacing w:after="0" w:line="240" w:lineRule="auto"/>
              <w:rPr>
                <w:rFonts w:ascii="Calibri" w:eastAsia="Times New Roman" w:hAnsi="Calibri" w:cs="Times New Roman"/>
                <w:b/>
                <w:bCs/>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b/>
                <w:bCs/>
                <w:i/>
                <w:lang w:eastAsia="en-IN"/>
              </w:rPr>
              <w:t>GENERAL MANAGER (ENGG.)</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Copy to :</w:t>
            </w:r>
          </w:p>
          <w:p w:rsidR="00781B8F" w:rsidRPr="00781B8F" w:rsidRDefault="00781B8F" w:rsidP="00781B8F">
            <w:pPr>
              <w:spacing w:after="0" w:line="240" w:lineRule="auto"/>
              <w:rPr>
                <w:rFonts w:ascii="Calibri" w:eastAsia="Times New Roman" w:hAnsi="Calibri" w:cs="Times New Roman"/>
                <w:i/>
                <w:lang w:eastAsia="en-IN"/>
              </w:rPr>
            </w:pP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 xml:space="preserve">PA to MD </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 xml:space="preserve"> </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-for information</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C.A.O</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 xml:space="preserve">                            -do-</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Dy GM(S), Margao/Thivim/Verna</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-do-</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 xml:space="preserve">R.M., Bicholim Industrial Estate      </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 xml:space="preserve"> </w:t>
            </w:r>
            <w:r w:rsidRPr="00781B8F">
              <w:rPr>
                <w:rFonts w:ascii="Calibri" w:eastAsia="Times New Roman" w:hAnsi="Calibri" w:cs="Times New Roman"/>
                <w:i/>
                <w:lang w:eastAsia="en-IN"/>
              </w:rPr>
              <w:tab/>
              <w:t>-do-</w:t>
            </w:r>
          </w:p>
          <w:p w:rsidR="00781B8F" w:rsidRPr="00781B8F" w:rsidRDefault="00781B8F" w:rsidP="00781B8F">
            <w:pPr>
              <w:spacing w:after="0" w:line="240" w:lineRule="auto"/>
              <w:rPr>
                <w:rFonts w:ascii="Calibri" w:eastAsia="Times New Roman" w:hAnsi="Calibri" w:cs="Times New Roman"/>
                <w:i/>
                <w:lang w:eastAsia="en-IN"/>
              </w:rPr>
            </w:pPr>
            <w:r w:rsidRPr="00781B8F">
              <w:rPr>
                <w:rFonts w:ascii="Calibri" w:eastAsia="Times New Roman" w:hAnsi="Calibri" w:cs="Times New Roman"/>
                <w:i/>
                <w:lang w:eastAsia="en-IN"/>
              </w:rPr>
              <w:t>R.M, Kundaim Industrial Estate</w:t>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r>
            <w:r w:rsidRPr="00781B8F">
              <w:rPr>
                <w:rFonts w:ascii="Calibri" w:eastAsia="Times New Roman" w:hAnsi="Calibri" w:cs="Times New Roman"/>
                <w:i/>
                <w:lang w:eastAsia="en-IN"/>
              </w:rPr>
              <w:tab/>
              <w:t xml:space="preserve">               -do-</w:t>
            </w:r>
          </w:p>
          <w:p w:rsidR="00781B8F" w:rsidRPr="00781B8F" w:rsidRDefault="00781B8F" w:rsidP="00781B8F">
            <w:pPr>
              <w:spacing w:after="0" w:line="240" w:lineRule="auto"/>
              <w:rPr>
                <w:rFonts w:ascii="Calibri" w:eastAsia="Times New Roman" w:hAnsi="Calibri" w:cs="Times New Roman"/>
                <w:lang w:eastAsia="en-IN"/>
              </w:rPr>
            </w:pPr>
            <w:r w:rsidRPr="00781B8F">
              <w:rPr>
                <w:rFonts w:ascii="Calibri" w:eastAsia="Times New Roman" w:hAnsi="Calibri" w:cs="Times New Roman"/>
                <w:lang w:eastAsia="en-IN"/>
              </w:rPr>
              <w:t>Jr. Programmer to upload the tender notice on website.</w:t>
            </w:r>
          </w:p>
          <w:p w:rsidR="00781B8F" w:rsidRPr="00781B8F" w:rsidRDefault="00781B8F" w:rsidP="00781B8F">
            <w:pPr>
              <w:spacing w:after="0" w:line="240" w:lineRule="auto"/>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rPr>
                <w:rFonts w:ascii="Cambria" w:eastAsia="Times New Roman" w:hAnsi="Cambria" w:cs="Times New Roman"/>
                <w:i/>
                <w:lang w:eastAsia="en-IN"/>
              </w:rPr>
            </w:pPr>
          </w:p>
        </w:tc>
      </w:tr>
      <w:tr w:rsidR="00781B8F" w:rsidRPr="00781B8F" w:rsidTr="00591EE1">
        <w:trPr>
          <w:trHeight w:val="557"/>
        </w:trPr>
        <w:tc>
          <w:tcPr>
            <w:tcW w:w="9781" w:type="dxa"/>
          </w:tcPr>
          <w:p w:rsidR="00781B8F" w:rsidRPr="00781B8F" w:rsidRDefault="00781B8F" w:rsidP="00781B8F">
            <w:pPr>
              <w:spacing w:after="0" w:line="240" w:lineRule="auto"/>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rPr>
                <w:rFonts w:ascii="Cambria" w:eastAsia="Times New Roman" w:hAnsi="Cambria" w:cs="Times New Roman"/>
                <w:i/>
                <w:lang w:eastAsia="en-IN"/>
              </w:rPr>
            </w:pPr>
          </w:p>
        </w:tc>
      </w:tr>
      <w:tr w:rsidR="00781B8F" w:rsidRPr="00781B8F" w:rsidTr="00591EE1">
        <w:trPr>
          <w:trHeight w:val="409"/>
        </w:trPr>
        <w:tc>
          <w:tcPr>
            <w:tcW w:w="9781" w:type="dxa"/>
          </w:tcPr>
          <w:p w:rsidR="00781B8F" w:rsidRPr="00781B8F" w:rsidRDefault="00781B8F" w:rsidP="00781B8F">
            <w:pPr>
              <w:spacing w:after="0" w:line="240" w:lineRule="auto"/>
              <w:rPr>
                <w:rFonts w:ascii="Cambria" w:eastAsia="Times New Roman" w:hAnsi="Cambria" w:cs="Times New Roman"/>
                <w:i/>
                <w:lang w:eastAsia="en-IN"/>
              </w:rPr>
            </w:pPr>
          </w:p>
        </w:tc>
        <w:tc>
          <w:tcPr>
            <w:tcW w:w="8647" w:type="dxa"/>
          </w:tcPr>
          <w:p w:rsidR="00781B8F" w:rsidRPr="00781B8F" w:rsidRDefault="00781B8F" w:rsidP="00781B8F">
            <w:pPr>
              <w:spacing w:after="0" w:line="240" w:lineRule="auto"/>
              <w:rPr>
                <w:rFonts w:ascii="Cambria" w:eastAsia="Times New Roman" w:hAnsi="Cambria" w:cs="Times New Roman"/>
                <w:i/>
                <w:lang w:eastAsia="en-IN"/>
              </w:rPr>
            </w:pPr>
          </w:p>
        </w:tc>
      </w:tr>
    </w:tbl>
    <w:p w:rsidR="00781B8F" w:rsidRPr="00781B8F" w:rsidRDefault="00781B8F" w:rsidP="00781B8F">
      <w:pPr>
        <w:spacing w:after="0" w:line="240" w:lineRule="auto"/>
        <w:rPr>
          <w:rFonts w:ascii="Calibri" w:eastAsia="Times New Roman" w:hAnsi="Calibri" w:cs="Times New Roman"/>
          <w:i/>
          <w:sz w:val="24"/>
          <w:szCs w:val="24"/>
          <w:lang w:eastAsia="en-IN"/>
        </w:rPr>
      </w:pPr>
    </w:p>
    <w:p w:rsidR="00781B8F" w:rsidRPr="00781B8F" w:rsidRDefault="00781B8F" w:rsidP="00781B8F">
      <w:pPr>
        <w:spacing w:after="0" w:line="240" w:lineRule="auto"/>
        <w:rPr>
          <w:rFonts w:ascii="Times New Roman" w:eastAsia="Times New Roman" w:hAnsi="Times New Roman" w:cs="Times New Roman"/>
          <w:sz w:val="24"/>
          <w:szCs w:val="24"/>
          <w:lang w:eastAsia="en-IN"/>
        </w:rPr>
      </w:pPr>
    </w:p>
    <w:p w:rsidR="00781B8F" w:rsidRPr="00781B8F" w:rsidRDefault="00781B8F" w:rsidP="00781B8F">
      <w:pPr>
        <w:spacing w:after="0" w:line="240" w:lineRule="auto"/>
        <w:rPr>
          <w:rFonts w:ascii="Times New Roman" w:eastAsia="Times New Roman" w:hAnsi="Times New Roman" w:cs="Times New Roman"/>
          <w:sz w:val="24"/>
          <w:szCs w:val="24"/>
          <w:lang w:eastAsia="en-IN"/>
        </w:rPr>
      </w:pPr>
    </w:p>
    <w:p w:rsidR="00781B8F" w:rsidRPr="00781B8F" w:rsidRDefault="00781B8F" w:rsidP="00781B8F">
      <w:pPr>
        <w:spacing w:after="0" w:line="240" w:lineRule="auto"/>
        <w:rPr>
          <w:rFonts w:ascii="Times New Roman" w:eastAsia="Times New Roman" w:hAnsi="Times New Roman" w:cs="Times New Roman"/>
          <w:sz w:val="24"/>
          <w:szCs w:val="24"/>
          <w:lang w:eastAsia="en-IN"/>
        </w:rPr>
      </w:pPr>
    </w:p>
    <w:p w:rsidR="00781B8F" w:rsidRDefault="00781B8F" w:rsidP="00781B8F">
      <w:pPr>
        <w:spacing w:after="0" w:line="240" w:lineRule="auto"/>
        <w:contextualSpacing/>
      </w:pPr>
    </w:p>
    <w:sectPr w:rsidR="00781B8F" w:rsidSect="005F72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C79"/>
    <w:rsid w:val="00493C79"/>
    <w:rsid w:val="005F7261"/>
    <w:rsid w:val="00781B8F"/>
    <w:rsid w:val="008E3E43"/>
    <w:rsid w:val="00AC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nderwizard.com/GOA" TargetMode="External"/><Relationship Id="rId4" Type="http://schemas.openxmlformats.org/officeDocument/2006/relationships/hyperlink" Target="http://www.e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 Ashtekar</dc:creator>
  <cp:keywords/>
  <dc:description/>
  <cp:lastModifiedBy>R. Thakur</cp:lastModifiedBy>
  <cp:revision>4</cp:revision>
  <dcterms:created xsi:type="dcterms:W3CDTF">2015-05-20T06:48:00Z</dcterms:created>
  <dcterms:modified xsi:type="dcterms:W3CDTF">2015-05-20T10:02:00Z</dcterms:modified>
</cp:coreProperties>
</file>